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219" w:rsidRPr="00B8470C" w:rsidRDefault="00155798" w:rsidP="00182C5F">
      <w:pPr>
        <w:rPr>
          <w:rFonts w:ascii="Times New Roman" w:hAnsi="Times New Roman" w:cs="Times New Roman"/>
          <w:b/>
        </w:rPr>
      </w:pPr>
      <w:r w:rsidRPr="00B8470C">
        <w:rPr>
          <w:rFonts w:ascii="Times New Roman" w:hAnsi="Times New Roman" w:cs="Times New Roman"/>
          <w:b/>
        </w:rPr>
        <w:t>Apéndice A. Palabras clave por artículo</w:t>
      </w:r>
    </w:p>
    <w:p w:rsidR="00155798" w:rsidRPr="00FF542B" w:rsidRDefault="00155798">
      <w:pPr>
        <w:rPr>
          <w:rFonts w:ascii="Times New Roman" w:hAnsi="Times New Roman" w:cs="Times New Roman"/>
          <w:b/>
          <w:sz w:val="32"/>
        </w:rPr>
      </w:pPr>
    </w:p>
    <w:p w:rsidR="00FF542B" w:rsidRPr="00F73078" w:rsidRDefault="00FF542B" w:rsidP="00FF542B">
      <w:pPr>
        <w:pStyle w:val="Descripcin"/>
        <w:keepNext/>
        <w:rPr>
          <w:rFonts w:ascii="Times New Roman" w:hAnsi="Times New Roman" w:cs="Times New Roman"/>
          <w:b/>
          <w:i w:val="0"/>
          <w:color w:val="auto"/>
          <w:sz w:val="24"/>
        </w:rPr>
      </w:pPr>
      <w:r w:rsidRPr="00F73078">
        <w:rPr>
          <w:rFonts w:ascii="Times New Roman" w:hAnsi="Times New Roman" w:cs="Times New Roman"/>
          <w:b/>
          <w:i w:val="0"/>
          <w:color w:val="auto"/>
          <w:sz w:val="24"/>
        </w:rPr>
        <w:t xml:space="preserve">Tabla A </w:t>
      </w:r>
      <w:r w:rsidRPr="00F73078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F73078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Tabla_A \* ARABIC </w:instrText>
      </w:r>
      <w:r w:rsidRPr="00F73078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Pr="00F73078">
        <w:rPr>
          <w:rFonts w:ascii="Times New Roman" w:hAnsi="Times New Roman" w:cs="Times New Roman"/>
          <w:b/>
          <w:i w:val="0"/>
          <w:noProof/>
          <w:color w:val="auto"/>
          <w:sz w:val="24"/>
        </w:rPr>
        <w:t>1</w:t>
      </w:r>
      <w:r w:rsidRPr="00F73078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</w:p>
    <w:p w:rsidR="00FF542B" w:rsidRPr="00FF542B" w:rsidRDefault="00FF542B" w:rsidP="00FF542B">
      <w:pPr>
        <w:pStyle w:val="Descripcin"/>
        <w:keepNext/>
        <w:rPr>
          <w:rFonts w:ascii="Times New Roman" w:hAnsi="Times New Roman" w:cs="Times New Roman"/>
          <w:color w:val="auto"/>
          <w:sz w:val="24"/>
        </w:rPr>
      </w:pPr>
      <w:r w:rsidRPr="00FF542B">
        <w:rPr>
          <w:rFonts w:ascii="Times New Roman" w:hAnsi="Times New Roman" w:cs="Times New Roman"/>
          <w:color w:val="auto"/>
          <w:sz w:val="24"/>
        </w:rPr>
        <w:t xml:space="preserve"> Palabras clave por artículo</w:t>
      </w:r>
    </w:p>
    <w:tbl>
      <w:tblPr>
        <w:tblStyle w:val="Tablanormal4"/>
        <w:tblW w:w="8885" w:type="dxa"/>
        <w:tblLook w:val="04A0" w:firstRow="1" w:lastRow="0" w:firstColumn="1" w:lastColumn="0" w:noHBand="0" w:noVBand="1"/>
      </w:tblPr>
      <w:tblGrid>
        <w:gridCol w:w="4288"/>
        <w:gridCol w:w="4597"/>
      </w:tblGrid>
      <w:tr w:rsidR="00155798" w:rsidRPr="00155798" w:rsidTr="004F17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noWrap/>
            <w:vAlign w:val="center"/>
            <w:hideMark/>
          </w:tcPr>
          <w:p w:rsidR="00155798" w:rsidRPr="00155798" w:rsidRDefault="00155798" w:rsidP="004F17E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lang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t>Título</w:t>
            </w:r>
          </w:p>
        </w:tc>
        <w:tc>
          <w:tcPr>
            <w:tcW w:w="4597" w:type="dxa"/>
            <w:noWrap/>
            <w:vAlign w:val="center"/>
            <w:hideMark/>
          </w:tcPr>
          <w:p w:rsidR="00155798" w:rsidRPr="00155798" w:rsidRDefault="00155798" w:rsidP="004F17E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lang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t>Palabras Clave</w:t>
            </w:r>
          </w:p>
        </w:tc>
      </w:tr>
      <w:tr w:rsidR="00155798" w:rsidRPr="00155798" w:rsidTr="004F1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noWrap/>
            <w:vAlign w:val="center"/>
            <w:hideMark/>
          </w:tcPr>
          <w:p w:rsidR="00155798" w:rsidRPr="00F73078" w:rsidRDefault="00293E31" w:rsidP="004F17EC">
            <w:pPr>
              <w:spacing w:before="240" w:line="276" w:lineRule="auto"/>
              <w:ind w:left="252" w:right="217"/>
              <w:rPr>
                <w:rFonts w:ascii="Times New Roman" w:eastAsia="Times New Roman" w:hAnsi="Times New Roman" w:cs="Times New Roman"/>
                <w:b w:val="0"/>
                <w:lang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 xml:space="preserve">El herbicida glifosato y sus </w:t>
            </w:r>
            <w:r w:rsidR="00155798"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alternativas</w:t>
            </w:r>
          </w:p>
        </w:tc>
        <w:tc>
          <w:tcPr>
            <w:tcW w:w="4597" w:type="dxa"/>
            <w:vAlign w:val="center"/>
            <w:hideMark/>
          </w:tcPr>
          <w:p w:rsidR="00155798" w:rsidRPr="00155798" w:rsidRDefault="00155798" w:rsidP="004F17EC">
            <w:pPr>
              <w:spacing w:before="240" w:line="276" w:lineRule="auto"/>
              <w:ind w:left="215" w:right="4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t>Herbicida; Glifosato; practicas agricolas;</w:t>
            </w: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br/>
              <w:t xml:space="preserve"> riesgos a la salud; pesticidas</w:t>
            </w:r>
          </w:p>
        </w:tc>
      </w:tr>
      <w:tr w:rsidR="00155798" w:rsidRPr="00155798" w:rsidTr="004F17EC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vAlign w:val="center"/>
            <w:hideMark/>
          </w:tcPr>
          <w:p w:rsidR="00155798" w:rsidRPr="00F73078" w:rsidRDefault="00155798" w:rsidP="00293E31">
            <w:pPr>
              <w:spacing w:before="240" w:line="276" w:lineRule="auto"/>
              <w:ind w:left="252" w:right="217"/>
              <w:rPr>
                <w:rFonts w:ascii="Times New Roman" w:eastAsia="Times New Roman" w:hAnsi="Times New Roman" w:cs="Times New Roman"/>
                <w:b w:val="0"/>
                <w:lang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Efectos s</w:t>
            </w:r>
            <w:r w:rsidR="00293E31"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 xml:space="preserve">obre la salud y el ambiente de </w:t>
            </w: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herbicidas que contienen glifosato</w:t>
            </w:r>
          </w:p>
        </w:tc>
        <w:tc>
          <w:tcPr>
            <w:tcW w:w="4597" w:type="dxa"/>
            <w:vAlign w:val="center"/>
            <w:hideMark/>
          </w:tcPr>
          <w:p w:rsidR="00155798" w:rsidRPr="00155798" w:rsidRDefault="00155798" w:rsidP="00293E31">
            <w:pPr>
              <w:spacing w:before="240" w:line="276" w:lineRule="auto"/>
              <w:ind w:left="215" w:right="4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t xml:space="preserve">Glifosato; efectos en la salud; </w:t>
            </w: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br/>
              <w:t>efectos ambientales; toxicidad.</w:t>
            </w:r>
          </w:p>
        </w:tc>
      </w:tr>
      <w:tr w:rsidR="00155798" w:rsidRPr="00155798" w:rsidTr="004F1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vAlign w:val="center"/>
            <w:hideMark/>
          </w:tcPr>
          <w:p w:rsidR="00155798" w:rsidRPr="00F73078" w:rsidRDefault="00155798" w:rsidP="004F17EC">
            <w:pPr>
              <w:spacing w:before="240" w:line="276" w:lineRule="auto"/>
              <w:ind w:left="252" w:right="217"/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t>Agrochemical pesticide production, trade, and hazard: Narrowing the information gap in Colombia</w:t>
            </w:r>
          </w:p>
        </w:tc>
        <w:tc>
          <w:tcPr>
            <w:tcW w:w="4597" w:type="dxa"/>
            <w:vAlign w:val="center"/>
            <w:hideMark/>
          </w:tcPr>
          <w:p w:rsidR="00155798" w:rsidRPr="00155798" w:rsidRDefault="00155798" w:rsidP="004F17EC">
            <w:pPr>
              <w:spacing w:before="240" w:line="276" w:lineRule="auto"/>
              <w:ind w:left="215" w:right="4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val="en-US" w:eastAsia="es-CO"/>
              </w:rPr>
              <w:t>Acute toxicity; Ecotoxicity; Highly hazardous pesticides; Human health; Low and middle income countries</w:t>
            </w:r>
          </w:p>
        </w:tc>
      </w:tr>
      <w:tr w:rsidR="00155798" w:rsidRPr="00155798" w:rsidTr="004F17EC">
        <w:trPr>
          <w:trHeight w:val="1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noWrap/>
            <w:vAlign w:val="center"/>
            <w:hideMark/>
          </w:tcPr>
          <w:p w:rsidR="00155798" w:rsidRPr="00F73078" w:rsidRDefault="00155798" w:rsidP="004F17EC">
            <w:pPr>
              <w:spacing w:before="240" w:line="276" w:lineRule="auto"/>
              <w:ind w:left="252" w:right="217"/>
              <w:rPr>
                <w:rFonts w:ascii="Times New Roman" w:eastAsia="Times New Roman" w:hAnsi="Times New Roman" w:cs="Times New Roman"/>
                <w:b w:val="0"/>
                <w:lang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Problemática del uso de glifosato</w:t>
            </w:r>
          </w:p>
        </w:tc>
        <w:tc>
          <w:tcPr>
            <w:tcW w:w="4597" w:type="dxa"/>
            <w:vAlign w:val="center"/>
            <w:hideMark/>
          </w:tcPr>
          <w:p w:rsidR="00155798" w:rsidRPr="00155798" w:rsidRDefault="00155798" w:rsidP="004F17EC">
            <w:pPr>
              <w:spacing w:before="240" w:line="276" w:lineRule="auto"/>
              <w:ind w:left="215" w:right="4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t>Evaluación; Glifosato; Herbicidas; Perú; Residuos de plaguicidas; Resistencia a los plaguicidas; Seguridad; Toxicidad de los pesticidas; Usos</w:t>
            </w:r>
          </w:p>
        </w:tc>
      </w:tr>
      <w:tr w:rsidR="00155798" w:rsidRPr="00155798" w:rsidTr="004F1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vAlign w:val="center"/>
            <w:hideMark/>
          </w:tcPr>
          <w:p w:rsidR="00155798" w:rsidRPr="00F73078" w:rsidRDefault="00155798" w:rsidP="004F17EC">
            <w:pPr>
              <w:spacing w:before="240" w:line="276" w:lineRule="auto"/>
              <w:ind w:left="252" w:right="217"/>
              <w:rPr>
                <w:rFonts w:ascii="Times New Roman" w:eastAsia="Times New Roman" w:hAnsi="Times New Roman" w:cs="Times New Roman"/>
                <w:b w:val="0"/>
                <w:lang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Alternativas al uso del glifosato y otros herbicidas tóxicos. Redes viales : carreteras , vias férreas , caminos .</w:t>
            </w:r>
          </w:p>
        </w:tc>
        <w:tc>
          <w:tcPr>
            <w:tcW w:w="4597" w:type="dxa"/>
            <w:vAlign w:val="center"/>
            <w:hideMark/>
          </w:tcPr>
          <w:p w:rsidR="00155798" w:rsidRPr="00155798" w:rsidRDefault="00155798" w:rsidP="004F17EC">
            <w:pPr>
              <w:spacing w:before="240" w:line="276" w:lineRule="auto"/>
              <w:ind w:left="215" w:right="4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t xml:space="preserve">Plaguicidas; herbicidas;exposición; </w:t>
            </w: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br/>
              <w:t>riesgos a la salud; impactos a la salud;trabajadores; vías ferreas</w:t>
            </w:r>
          </w:p>
        </w:tc>
      </w:tr>
      <w:tr w:rsidR="00155798" w:rsidRPr="00155798" w:rsidTr="004F17EC">
        <w:trPr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noWrap/>
            <w:vAlign w:val="center"/>
            <w:hideMark/>
          </w:tcPr>
          <w:p w:rsidR="00155798" w:rsidRPr="00F73078" w:rsidRDefault="00155798" w:rsidP="004F17EC">
            <w:pPr>
              <w:spacing w:before="240" w:line="276" w:lineRule="auto"/>
              <w:ind w:left="252" w:right="217"/>
              <w:rPr>
                <w:rFonts w:ascii="Times New Roman" w:eastAsia="Times New Roman" w:hAnsi="Times New Roman" w:cs="Times New Roman"/>
                <w:b w:val="0"/>
                <w:lang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El mercado laboral rural en Colombia, 2010-2019</w:t>
            </w:r>
          </w:p>
        </w:tc>
        <w:tc>
          <w:tcPr>
            <w:tcW w:w="4597" w:type="dxa"/>
            <w:vAlign w:val="center"/>
            <w:hideMark/>
          </w:tcPr>
          <w:p w:rsidR="00155798" w:rsidRPr="00155798" w:rsidRDefault="00155798" w:rsidP="004F17EC">
            <w:pPr>
              <w:spacing w:before="240" w:line="276" w:lineRule="auto"/>
              <w:ind w:left="215" w:right="4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val="en-US" w:eastAsia="es-CO"/>
              </w:rPr>
              <w:t xml:space="preserve">Rural labor market; informality; </w:t>
            </w:r>
            <w:r w:rsidRPr="00155798">
              <w:rPr>
                <w:rFonts w:ascii="Times New Roman" w:eastAsia="Times New Roman" w:hAnsi="Times New Roman" w:cs="Times New Roman"/>
                <w:lang w:val="en-US" w:eastAsia="es-CO"/>
              </w:rPr>
              <w:br/>
              <w:t>unemployment; child labor.</w:t>
            </w:r>
          </w:p>
        </w:tc>
      </w:tr>
      <w:tr w:rsidR="00155798" w:rsidRPr="00155798" w:rsidTr="004F1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noWrap/>
            <w:vAlign w:val="center"/>
            <w:hideMark/>
          </w:tcPr>
          <w:p w:rsidR="00155798" w:rsidRPr="00F73078" w:rsidRDefault="00155798" w:rsidP="004F17EC">
            <w:pPr>
              <w:spacing w:before="240" w:line="276" w:lineRule="auto"/>
              <w:ind w:left="252" w:right="217"/>
              <w:rPr>
                <w:rFonts w:ascii="Times New Roman" w:eastAsia="Times New Roman" w:hAnsi="Times New Roman" w:cs="Times New Roman"/>
                <w:b w:val="0"/>
                <w:lang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Seguridad y Salud en la Agricultura</w:t>
            </w:r>
          </w:p>
        </w:tc>
        <w:tc>
          <w:tcPr>
            <w:tcW w:w="4597" w:type="dxa"/>
            <w:vAlign w:val="center"/>
            <w:hideMark/>
          </w:tcPr>
          <w:p w:rsidR="00155798" w:rsidRPr="00155798" w:rsidRDefault="00155798" w:rsidP="004F17EC">
            <w:pPr>
              <w:spacing w:before="240" w:line="276" w:lineRule="auto"/>
              <w:ind w:left="215" w:right="4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t>Repertorio de recomendaciones y prácticas; agricultura; seguridad y salud en el trabajo; herbicidas</w:t>
            </w:r>
          </w:p>
        </w:tc>
      </w:tr>
      <w:tr w:rsidR="00155798" w:rsidRPr="00155798" w:rsidTr="004F17EC">
        <w:trPr>
          <w:trHeight w:val="17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vAlign w:val="center"/>
            <w:hideMark/>
          </w:tcPr>
          <w:p w:rsidR="00155798" w:rsidRPr="00F73078" w:rsidRDefault="00155798" w:rsidP="004F17EC">
            <w:pPr>
              <w:spacing w:before="240" w:line="276" w:lineRule="auto"/>
              <w:ind w:left="252" w:right="217"/>
              <w:rPr>
                <w:rFonts w:ascii="Times New Roman" w:eastAsia="Times New Roman" w:hAnsi="Times New Roman" w:cs="Times New Roman"/>
                <w:b w:val="0"/>
                <w:lang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Condiciones de trabajo y de salud de las personas que realizan actividades temporales o estacionales en cultivos de café.</w:t>
            </w:r>
          </w:p>
        </w:tc>
        <w:tc>
          <w:tcPr>
            <w:tcW w:w="4597" w:type="dxa"/>
            <w:vAlign w:val="center"/>
            <w:hideMark/>
          </w:tcPr>
          <w:p w:rsidR="00155798" w:rsidRPr="00155798" w:rsidRDefault="00155798" w:rsidP="004F17EC">
            <w:pPr>
              <w:spacing w:before="240" w:line="276" w:lineRule="auto"/>
              <w:ind w:left="215" w:right="4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t>Trabajadores rurales; seguridad y</w:t>
            </w: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br/>
              <w:t xml:space="preserve"> salud en el trabajo; cadenas de valor; Programa de la OIT</w:t>
            </w:r>
          </w:p>
        </w:tc>
      </w:tr>
    </w:tbl>
    <w:p w:rsidR="00FF542B" w:rsidRDefault="00FF542B"/>
    <w:p w:rsidR="00FF542B" w:rsidRDefault="00FF542B"/>
    <w:p w:rsidR="00FF542B" w:rsidRPr="00F73078" w:rsidRDefault="00FF542B" w:rsidP="00FF542B">
      <w:pPr>
        <w:rPr>
          <w:rFonts w:ascii="Times New Roman" w:hAnsi="Times New Roman" w:cs="Times New Roman"/>
          <w:b/>
          <w:sz w:val="24"/>
        </w:rPr>
      </w:pPr>
      <w:bookmarkStart w:id="0" w:name="_GoBack"/>
      <w:r w:rsidRPr="00F73078">
        <w:rPr>
          <w:rFonts w:ascii="Times New Roman" w:hAnsi="Times New Roman" w:cs="Times New Roman"/>
          <w:b/>
          <w:sz w:val="24"/>
        </w:rPr>
        <w:lastRenderedPageBreak/>
        <w:t>Continuación Tabla A 1</w:t>
      </w:r>
    </w:p>
    <w:bookmarkEnd w:id="0"/>
    <w:p w:rsidR="00FF542B" w:rsidRPr="00FF542B" w:rsidRDefault="00FF542B" w:rsidP="00FF542B">
      <w:pPr>
        <w:rPr>
          <w:rFonts w:ascii="Times New Roman" w:hAnsi="Times New Roman" w:cs="Times New Roman"/>
          <w:i/>
          <w:sz w:val="24"/>
        </w:rPr>
      </w:pPr>
      <w:r w:rsidRPr="00FF542B">
        <w:rPr>
          <w:rFonts w:ascii="Times New Roman" w:hAnsi="Times New Roman" w:cs="Times New Roman"/>
          <w:i/>
          <w:sz w:val="24"/>
        </w:rPr>
        <w:t>Palabras clave por artículo</w:t>
      </w:r>
    </w:p>
    <w:tbl>
      <w:tblPr>
        <w:tblStyle w:val="Tablanormal4"/>
        <w:tblW w:w="8885" w:type="dxa"/>
        <w:tblLook w:val="04A0" w:firstRow="1" w:lastRow="0" w:firstColumn="1" w:lastColumn="0" w:noHBand="0" w:noVBand="1"/>
      </w:tblPr>
      <w:tblGrid>
        <w:gridCol w:w="4288"/>
        <w:gridCol w:w="4597"/>
      </w:tblGrid>
      <w:tr w:rsidR="00155798" w:rsidRPr="00155798" w:rsidTr="004F17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hideMark/>
          </w:tcPr>
          <w:p w:rsidR="00155798" w:rsidRPr="00F73078" w:rsidRDefault="00155798" w:rsidP="00155798">
            <w:pPr>
              <w:spacing w:before="240" w:line="276" w:lineRule="auto"/>
              <w:ind w:left="252" w:right="217"/>
              <w:jc w:val="both"/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t>Prácticas Agrícolas Y Riesgos a La Salud Agricultural Practices and Risks To Health From the Use of Pesticides in Agricultural</w:t>
            </w:r>
          </w:p>
        </w:tc>
        <w:tc>
          <w:tcPr>
            <w:tcW w:w="4597" w:type="dxa"/>
            <w:hideMark/>
          </w:tcPr>
          <w:p w:rsidR="00155798" w:rsidRPr="004F17EC" w:rsidRDefault="00155798" w:rsidP="00155798">
            <w:pPr>
              <w:spacing w:before="240" w:line="276" w:lineRule="auto"/>
              <w:ind w:left="215" w:right="413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</w:pPr>
            <w:r w:rsidRPr="004F17EC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t>Control; knowledge; poisoning; pests;</w:t>
            </w:r>
            <w:r w:rsidRPr="004F17EC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br/>
              <w:t>chemical products</w:t>
            </w:r>
          </w:p>
        </w:tc>
      </w:tr>
      <w:tr w:rsidR="00155798" w:rsidRPr="00155798" w:rsidTr="004F1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hideMark/>
          </w:tcPr>
          <w:p w:rsidR="00155798" w:rsidRPr="00F73078" w:rsidRDefault="00155798" w:rsidP="00155798">
            <w:pPr>
              <w:spacing w:before="240" w:line="276" w:lineRule="auto"/>
              <w:ind w:left="252" w:right="217"/>
              <w:jc w:val="both"/>
              <w:rPr>
                <w:rFonts w:ascii="Times New Roman" w:eastAsia="Times New Roman" w:hAnsi="Times New Roman" w:cs="Times New Roman"/>
                <w:b w:val="0"/>
                <w:lang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Efectos de l</w:t>
            </w:r>
            <w:r w:rsidR="00293E31"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a intoxicación por glifosato en la p</w:t>
            </w: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oblación agrícola: revisión de tema</w:t>
            </w:r>
          </w:p>
        </w:tc>
        <w:tc>
          <w:tcPr>
            <w:tcW w:w="4597" w:type="dxa"/>
            <w:hideMark/>
          </w:tcPr>
          <w:p w:rsidR="00155798" w:rsidRPr="00155798" w:rsidRDefault="00155798" w:rsidP="00155798">
            <w:pPr>
              <w:spacing w:before="240" w:line="276" w:lineRule="auto"/>
              <w:ind w:left="215" w:right="41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val="en-US" w:eastAsia="es-CO"/>
              </w:rPr>
              <w:t>Compromise; engineering; glyphosate;</w:t>
            </w:r>
            <w:r w:rsidRPr="00155798">
              <w:rPr>
                <w:rFonts w:ascii="Times New Roman" w:eastAsia="Times New Roman" w:hAnsi="Times New Roman" w:cs="Times New Roman"/>
                <w:lang w:val="en-US" w:eastAsia="es-CO"/>
              </w:rPr>
              <w:br/>
              <w:t xml:space="preserve"> medline; nephrotoxicity; population health; toxicity; toxicology</w:t>
            </w:r>
          </w:p>
        </w:tc>
      </w:tr>
      <w:tr w:rsidR="00155798" w:rsidRPr="00155798" w:rsidTr="004F17EC">
        <w:trPr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hideMark/>
          </w:tcPr>
          <w:p w:rsidR="00155798" w:rsidRPr="00F73078" w:rsidRDefault="00155798" w:rsidP="00155798">
            <w:pPr>
              <w:spacing w:before="240" w:line="276" w:lineRule="auto"/>
              <w:ind w:left="252" w:right="217"/>
              <w:jc w:val="both"/>
              <w:rPr>
                <w:rFonts w:ascii="Times New Roman" w:eastAsia="Times New Roman" w:hAnsi="Times New Roman" w:cs="Times New Roman"/>
                <w:b w:val="0"/>
                <w:lang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 xml:space="preserve">Manejo de herbicidas sintéticos y </w:t>
            </w: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br/>
              <w:t>extractos vegetales para controlar malezas en cultivos básicos: maíz, frijol y sorgo</w:t>
            </w:r>
          </w:p>
        </w:tc>
        <w:tc>
          <w:tcPr>
            <w:tcW w:w="4597" w:type="dxa"/>
            <w:hideMark/>
          </w:tcPr>
          <w:p w:rsidR="00155798" w:rsidRPr="00155798" w:rsidRDefault="00155798" w:rsidP="00155798">
            <w:pPr>
              <w:spacing w:before="240" w:line="276" w:lineRule="auto"/>
              <w:ind w:left="215" w:righ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t>A.artemisiifolia L.; Alelopatía; P. hysterophorus L; extracto; herbicida; maleza</w:t>
            </w:r>
          </w:p>
        </w:tc>
      </w:tr>
      <w:tr w:rsidR="00155798" w:rsidRPr="00155798" w:rsidTr="004F1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hideMark/>
          </w:tcPr>
          <w:p w:rsidR="00155798" w:rsidRPr="00F73078" w:rsidRDefault="00155798" w:rsidP="00155798">
            <w:pPr>
              <w:spacing w:before="240" w:line="276" w:lineRule="auto"/>
              <w:ind w:left="252" w:right="217"/>
              <w:jc w:val="both"/>
              <w:rPr>
                <w:rFonts w:ascii="Times New Roman" w:eastAsia="Times New Roman" w:hAnsi="Times New Roman" w:cs="Times New Roman"/>
                <w:b w:val="0"/>
                <w:lang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Las Arven</w:t>
            </w:r>
            <w:r w:rsidR="00293E31"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 xml:space="preserve">ses En El Agroecosistema Y Sus </w:t>
            </w:r>
            <w:r w:rsidRPr="00F73078">
              <w:rPr>
                <w:rFonts w:ascii="Times New Roman" w:eastAsia="Times New Roman" w:hAnsi="Times New Roman" w:cs="Times New Roman"/>
                <w:b w:val="0"/>
                <w:lang w:eastAsia="es-CO"/>
              </w:rPr>
              <w:t>Beneficios Naturales</w:t>
            </w:r>
          </w:p>
        </w:tc>
        <w:tc>
          <w:tcPr>
            <w:tcW w:w="4597" w:type="dxa"/>
            <w:hideMark/>
          </w:tcPr>
          <w:p w:rsidR="00155798" w:rsidRPr="00155798" w:rsidRDefault="00155798" w:rsidP="00155798">
            <w:pPr>
              <w:spacing w:before="240" w:line="276" w:lineRule="auto"/>
              <w:ind w:left="215" w:right="41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eastAsia="es-CO"/>
              </w:rPr>
              <w:t>Biodiversidad; biodiversidad; enemigos naturales; malezas; métodos de control</w:t>
            </w:r>
          </w:p>
        </w:tc>
      </w:tr>
      <w:tr w:rsidR="00155798" w:rsidRPr="00155798" w:rsidTr="004F17EC">
        <w:trPr>
          <w:trHeight w:val="1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hideMark/>
          </w:tcPr>
          <w:p w:rsidR="00155798" w:rsidRPr="00F73078" w:rsidRDefault="00155798" w:rsidP="00155798">
            <w:pPr>
              <w:spacing w:before="240" w:line="276" w:lineRule="auto"/>
              <w:ind w:left="252" w:right="217"/>
              <w:jc w:val="both"/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t xml:space="preserve">Estimating Exposure to Three Commonly Used, Potentially </w:t>
            </w:r>
            <w:r w:rsidR="00293E31" w:rsidRPr="00F73078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t xml:space="preserve">Carcinogenic Pesticides </w:t>
            </w:r>
            <w:r w:rsidRPr="00F73078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t>(Chlorolathonil, 2,4-D, and Glyphosate) Among Agricultural Workers in Canada</w:t>
            </w:r>
          </w:p>
        </w:tc>
        <w:tc>
          <w:tcPr>
            <w:tcW w:w="4597" w:type="dxa"/>
            <w:hideMark/>
          </w:tcPr>
          <w:p w:rsidR="00155798" w:rsidRPr="00155798" w:rsidRDefault="00155798" w:rsidP="00155798">
            <w:pPr>
              <w:spacing w:before="240" w:line="276" w:lineRule="auto"/>
              <w:ind w:left="215" w:righ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val="en-US" w:eastAsia="es-CO"/>
              </w:rPr>
              <w:t>2, 4-D; agriculture; chlorothalonil; glyphosate; occupational exposure; pesticides</w:t>
            </w:r>
          </w:p>
        </w:tc>
      </w:tr>
      <w:tr w:rsidR="00155798" w:rsidRPr="00155798" w:rsidTr="004F1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hideMark/>
          </w:tcPr>
          <w:p w:rsidR="00155798" w:rsidRPr="00F73078" w:rsidRDefault="00155798" w:rsidP="00155798">
            <w:pPr>
              <w:spacing w:before="240" w:line="276" w:lineRule="auto"/>
              <w:ind w:left="252" w:right="217"/>
              <w:jc w:val="both"/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t>The Toxicity, Persistence and Mode of Actions of Selected Botanical Pesticides in Africa against Insect Pests in Common Beans, P. vulgaris: A Review</w:t>
            </w:r>
          </w:p>
        </w:tc>
        <w:tc>
          <w:tcPr>
            <w:tcW w:w="4597" w:type="dxa"/>
            <w:hideMark/>
          </w:tcPr>
          <w:p w:rsidR="00155798" w:rsidRPr="00155798" w:rsidRDefault="00155798" w:rsidP="00155798">
            <w:pPr>
              <w:spacing w:before="240" w:line="276" w:lineRule="auto"/>
              <w:ind w:left="215" w:right="41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val="en-US" w:eastAsia="es-CO"/>
              </w:rPr>
              <w:t>Toxicity; persistence; botanical pesticides; mode of actions; half life</w:t>
            </w:r>
          </w:p>
        </w:tc>
      </w:tr>
      <w:tr w:rsidR="00155798" w:rsidRPr="00155798" w:rsidTr="004F17EC">
        <w:trPr>
          <w:trHeight w:val="1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hideMark/>
          </w:tcPr>
          <w:p w:rsidR="00155798" w:rsidRPr="00F73078" w:rsidRDefault="00155798" w:rsidP="00155798">
            <w:pPr>
              <w:spacing w:before="240" w:line="276" w:lineRule="auto"/>
              <w:ind w:left="252" w:right="217"/>
              <w:jc w:val="both"/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t>Chemical Pesticides and Human Health: The Urgent Need for a New Concept in Agriculture</w:t>
            </w:r>
          </w:p>
        </w:tc>
        <w:tc>
          <w:tcPr>
            <w:tcW w:w="4597" w:type="dxa"/>
            <w:hideMark/>
          </w:tcPr>
          <w:p w:rsidR="00155798" w:rsidRPr="00155798" w:rsidRDefault="00155798" w:rsidP="00155798">
            <w:pPr>
              <w:spacing w:before="240" w:line="276" w:lineRule="auto"/>
              <w:ind w:left="215" w:righ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val="en-US" w:eastAsia="es-CO"/>
              </w:rPr>
              <w:t>Pesticides; agrochemicals; environmental health; endocrine disruptors; food sovereignty</w:t>
            </w:r>
          </w:p>
        </w:tc>
      </w:tr>
      <w:tr w:rsidR="00155798" w:rsidRPr="00155798" w:rsidTr="004F1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hideMark/>
          </w:tcPr>
          <w:p w:rsidR="00155798" w:rsidRPr="00F73078" w:rsidRDefault="00155798" w:rsidP="00155798">
            <w:pPr>
              <w:spacing w:before="240" w:line="276" w:lineRule="auto"/>
              <w:ind w:left="252" w:right="217"/>
              <w:jc w:val="both"/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t>The global distribution of fatal pesticide self-poisoning: systematic review</w:t>
            </w:r>
          </w:p>
        </w:tc>
        <w:tc>
          <w:tcPr>
            <w:tcW w:w="4597" w:type="dxa"/>
            <w:hideMark/>
          </w:tcPr>
          <w:p w:rsidR="00155798" w:rsidRPr="00155798" w:rsidRDefault="00155798" w:rsidP="00155798">
            <w:pPr>
              <w:spacing w:before="240" w:line="276" w:lineRule="auto"/>
              <w:ind w:left="215" w:right="41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val="en-US" w:eastAsia="es-CO"/>
              </w:rPr>
              <w:t>Paraquat; suicide rate; plausible range; western pacific region; pesticide poisoning</w:t>
            </w:r>
          </w:p>
        </w:tc>
      </w:tr>
    </w:tbl>
    <w:p w:rsidR="00FF542B" w:rsidRDefault="00FF542B"/>
    <w:p w:rsidR="00293E31" w:rsidRDefault="00293E31"/>
    <w:p w:rsidR="00293E31" w:rsidRDefault="00293E31"/>
    <w:p w:rsidR="00F73078" w:rsidRDefault="00F73078"/>
    <w:p w:rsidR="00FF542B" w:rsidRPr="00F73078" w:rsidRDefault="00FF542B" w:rsidP="00FF542B">
      <w:pPr>
        <w:rPr>
          <w:rFonts w:ascii="Times New Roman" w:hAnsi="Times New Roman" w:cs="Times New Roman"/>
          <w:b/>
          <w:sz w:val="24"/>
        </w:rPr>
      </w:pPr>
      <w:r w:rsidRPr="00F73078">
        <w:rPr>
          <w:rFonts w:ascii="Times New Roman" w:hAnsi="Times New Roman" w:cs="Times New Roman"/>
          <w:b/>
          <w:sz w:val="24"/>
        </w:rPr>
        <w:lastRenderedPageBreak/>
        <w:t>Continuación Tabla A 1</w:t>
      </w:r>
    </w:p>
    <w:p w:rsidR="00FF542B" w:rsidRPr="00293E31" w:rsidRDefault="00FF542B">
      <w:pPr>
        <w:rPr>
          <w:rFonts w:ascii="Times New Roman" w:hAnsi="Times New Roman" w:cs="Times New Roman"/>
          <w:i/>
          <w:sz w:val="24"/>
        </w:rPr>
      </w:pPr>
      <w:r w:rsidRPr="00FF542B">
        <w:rPr>
          <w:rFonts w:ascii="Times New Roman" w:hAnsi="Times New Roman" w:cs="Times New Roman"/>
          <w:i/>
          <w:sz w:val="24"/>
        </w:rPr>
        <w:t>Palabras clave por artículo</w:t>
      </w:r>
    </w:p>
    <w:tbl>
      <w:tblPr>
        <w:tblStyle w:val="Tablanormal4"/>
        <w:tblW w:w="8885" w:type="dxa"/>
        <w:tblLook w:val="04A0" w:firstRow="1" w:lastRow="0" w:firstColumn="1" w:lastColumn="0" w:noHBand="0" w:noVBand="1"/>
      </w:tblPr>
      <w:tblGrid>
        <w:gridCol w:w="4288"/>
        <w:gridCol w:w="4597"/>
      </w:tblGrid>
      <w:tr w:rsidR="004F17EC" w:rsidRPr="00155798" w:rsidTr="000E2F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vAlign w:val="center"/>
          </w:tcPr>
          <w:p w:rsidR="004F17EC" w:rsidRPr="00F73078" w:rsidRDefault="004F17EC" w:rsidP="000E2FCA">
            <w:pPr>
              <w:spacing w:before="240" w:line="276" w:lineRule="auto"/>
              <w:ind w:left="252" w:right="217"/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t>Glyphosate and Paraquat in Maternal and Fetal Serums in Thai Women</w:t>
            </w:r>
          </w:p>
        </w:tc>
        <w:tc>
          <w:tcPr>
            <w:tcW w:w="4597" w:type="dxa"/>
            <w:vAlign w:val="center"/>
          </w:tcPr>
          <w:p w:rsidR="004F17EC" w:rsidRPr="000E2FCA" w:rsidRDefault="004F17EC" w:rsidP="000E2FCA">
            <w:pPr>
              <w:spacing w:before="240" w:line="276" w:lineRule="auto"/>
              <w:ind w:left="215" w:right="4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</w:pPr>
            <w:r w:rsidRPr="000E2FCA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t>Agricultural activities; glyphosate; maternal and umbilical cord serums; paraquat; pregnant women</w:t>
            </w:r>
          </w:p>
        </w:tc>
      </w:tr>
      <w:tr w:rsidR="004F17EC" w:rsidRPr="00155798" w:rsidTr="000E2F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8" w:type="dxa"/>
            <w:vAlign w:val="center"/>
            <w:hideMark/>
          </w:tcPr>
          <w:p w:rsidR="004F17EC" w:rsidRPr="00F73078" w:rsidRDefault="004F17EC" w:rsidP="000E2FCA">
            <w:pPr>
              <w:spacing w:before="240" w:line="276" w:lineRule="auto"/>
              <w:ind w:left="252" w:right="217"/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</w:pPr>
            <w:r w:rsidRPr="00F73078">
              <w:rPr>
                <w:rFonts w:ascii="Times New Roman" w:eastAsia="Times New Roman" w:hAnsi="Times New Roman" w:cs="Times New Roman"/>
                <w:b w:val="0"/>
                <w:lang w:val="en-US" w:eastAsia="es-CO"/>
              </w:rPr>
              <w:t>An exploratory analysis of the effect of pesticide exposure on the risk of spontaneous abortion in an Ontario farm population.</w:t>
            </w:r>
          </w:p>
        </w:tc>
        <w:tc>
          <w:tcPr>
            <w:tcW w:w="4597" w:type="dxa"/>
            <w:vAlign w:val="center"/>
            <w:hideMark/>
          </w:tcPr>
          <w:p w:rsidR="004F17EC" w:rsidRPr="00155798" w:rsidRDefault="004F17EC" w:rsidP="000E2FCA">
            <w:pPr>
              <w:spacing w:before="240" w:line="276" w:lineRule="auto"/>
              <w:ind w:left="215" w:right="4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 w:eastAsia="es-CO"/>
              </w:rPr>
            </w:pPr>
            <w:r w:rsidRPr="00155798">
              <w:rPr>
                <w:rFonts w:ascii="Times New Roman" w:eastAsia="Times New Roman" w:hAnsi="Times New Roman" w:cs="Times New Roman"/>
                <w:lang w:val="en-US" w:eastAsia="es-CO"/>
              </w:rPr>
              <w:t>Atrazine, carbaryl, developmental toxicity, epidemiologic methods, glyphosate, herbicides, pesticides, phenoxy acetic acid herbicides, spontaneous abortion, thiocarbamates, triazine, windows of vulnerability</w:t>
            </w:r>
          </w:p>
        </w:tc>
      </w:tr>
    </w:tbl>
    <w:p w:rsidR="00155798" w:rsidRDefault="00155798"/>
    <w:sectPr w:rsidR="001557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EA6" w:rsidRDefault="005D5EA6" w:rsidP="00FF542B">
      <w:pPr>
        <w:spacing w:after="0" w:line="240" w:lineRule="auto"/>
      </w:pPr>
      <w:r>
        <w:separator/>
      </w:r>
    </w:p>
  </w:endnote>
  <w:endnote w:type="continuationSeparator" w:id="0">
    <w:p w:rsidR="005D5EA6" w:rsidRDefault="005D5EA6" w:rsidP="00FF5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EA6" w:rsidRDefault="005D5EA6" w:rsidP="00FF542B">
      <w:pPr>
        <w:spacing w:after="0" w:line="240" w:lineRule="auto"/>
      </w:pPr>
      <w:r>
        <w:separator/>
      </w:r>
    </w:p>
  </w:footnote>
  <w:footnote w:type="continuationSeparator" w:id="0">
    <w:p w:rsidR="005D5EA6" w:rsidRDefault="005D5EA6" w:rsidP="00FF54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98"/>
    <w:rsid w:val="000E2FCA"/>
    <w:rsid w:val="00155798"/>
    <w:rsid w:val="00182C5F"/>
    <w:rsid w:val="00242AEE"/>
    <w:rsid w:val="00293E31"/>
    <w:rsid w:val="004F17EC"/>
    <w:rsid w:val="005D5EA6"/>
    <w:rsid w:val="00611219"/>
    <w:rsid w:val="006B1F8D"/>
    <w:rsid w:val="00B37015"/>
    <w:rsid w:val="00B8470C"/>
    <w:rsid w:val="00BA7759"/>
    <w:rsid w:val="00EE58F2"/>
    <w:rsid w:val="00F730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BEE36"/>
  <w15:chartTrackingRefBased/>
  <w15:docId w15:val="{E5FD6960-E0B7-4A79-A3B5-93C3809D4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FF542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F54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F542B"/>
  </w:style>
  <w:style w:type="paragraph" w:styleId="Piedepgina">
    <w:name w:val="footer"/>
    <w:basedOn w:val="Normal"/>
    <w:link w:val="PiedepginaCar"/>
    <w:uiPriority w:val="99"/>
    <w:unhideWhenUsed/>
    <w:rsid w:val="00FF54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F542B"/>
  </w:style>
  <w:style w:type="table" w:styleId="Tablanormal4">
    <w:name w:val="Plain Table 4"/>
    <w:basedOn w:val="Tablanormal"/>
    <w:uiPriority w:val="44"/>
    <w:rsid w:val="004F17E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A5930-49E1-4211-9962-ED94C5229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550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GALVIS</dc:creator>
  <cp:keywords/>
  <dc:description/>
  <cp:lastModifiedBy>ERIKA GALVIS</cp:lastModifiedBy>
  <cp:revision>10</cp:revision>
  <dcterms:created xsi:type="dcterms:W3CDTF">2021-07-16T22:09:00Z</dcterms:created>
  <dcterms:modified xsi:type="dcterms:W3CDTF">2022-10-26T00:49:00Z</dcterms:modified>
</cp:coreProperties>
</file>